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BC2CD" w14:textId="1708E848" w:rsidR="0099067E" w:rsidRDefault="00C15DDD">
      <w:pPr>
        <w:spacing w:after="0"/>
        <w:ind w:left="2761"/>
      </w:pPr>
      <w:r>
        <w:rPr>
          <w:sz w:val="24"/>
        </w:rPr>
        <w:t xml:space="preserve">Haukivuoren aluejohtokunta 23.1.2020 Liite 1 § 9 </w:t>
      </w:r>
      <w:r w:rsidR="00293E40">
        <w:rPr>
          <w:sz w:val="24"/>
        </w:rPr>
        <w:t xml:space="preserve">käsitelty </w:t>
      </w:r>
      <w:proofErr w:type="spellStart"/>
      <w:r w:rsidR="00293E40">
        <w:rPr>
          <w:sz w:val="24"/>
        </w:rPr>
        <w:t>alkuperäi-sessa</w:t>
      </w:r>
      <w:proofErr w:type="spellEnd"/>
      <w:r w:rsidR="00293E40">
        <w:rPr>
          <w:sz w:val="24"/>
        </w:rPr>
        <w:t xml:space="preserve"> muodossa. Lisäykset 27.1.20</w:t>
      </w:r>
      <w:r w:rsidR="00400CEE">
        <w:rPr>
          <w:sz w:val="24"/>
        </w:rPr>
        <w:t>/10.3.20</w:t>
      </w:r>
      <w:r w:rsidR="00293E40">
        <w:rPr>
          <w:sz w:val="24"/>
        </w:rPr>
        <w:t xml:space="preserve"> kokouksen </w:t>
      </w:r>
      <w:proofErr w:type="spellStart"/>
      <w:r w:rsidR="00293E40">
        <w:rPr>
          <w:sz w:val="24"/>
        </w:rPr>
        <w:t>johtopäätö</w:t>
      </w:r>
      <w:r w:rsidR="00400CEE">
        <w:rPr>
          <w:sz w:val="24"/>
        </w:rPr>
        <w:t>k</w:t>
      </w:r>
      <w:proofErr w:type="spellEnd"/>
      <w:r w:rsidR="00400CEE">
        <w:rPr>
          <w:sz w:val="24"/>
        </w:rPr>
        <w:t>-</w:t>
      </w:r>
      <w:r w:rsidR="00293E40">
        <w:rPr>
          <w:sz w:val="24"/>
        </w:rPr>
        <w:t>sinä.</w:t>
      </w:r>
      <w:r w:rsidR="002B5004">
        <w:rPr>
          <w:sz w:val="24"/>
        </w:rPr>
        <w:t xml:space="preserve"> Lukumalli: värillinen teksti suora lainaus (</w:t>
      </w:r>
      <w:hyperlink r:id="rId5" w:history="1">
        <w:r w:rsidR="006B6EF4" w:rsidRPr="00F13708">
          <w:rPr>
            <w:rStyle w:val="Hyperlinkki"/>
            <w:sz w:val="24"/>
          </w:rPr>
          <w:t>www.haukivuori.fi</w:t>
        </w:r>
      </w:hyperlink>
      <w:r w:rsidR="006B6EF4">
        <w:rPr>
          <w:sz w:val="24"/>
        </w:rPr>
        <w:t xml:space="preserve">) </w:t>
      </w:r>
      <w:r w:rsidR="00400CEE">
        <w:rPr>
          <w:sz w:val="24"/>
        </w:rPr>
        <w:t>aluejohtokunnan</w:t>
      </w:r>
      <w:r w:rsidR="006B6EF4">
        <w:rPr>
          <w:sz w:val="24"/>
        </w:rPr>
        <w:t xml:space="preserve">strategiasta </w:t>
      </w:r>
      <w:r w:rsidR="00400CEE">
        <w:rPr>
          <w:sz w:val="24"/>
        </w:rPr>
        <w:t>vv. 2017 – 2021.</w:t>
      </w:r>
      <w:r w:rsidR="006B6EF4">
        <w:rPr>
          <w:sz w:val="24"/>
        </w:rPr>
        <w:t xml:space="preserve">                                                                                                                              </w:t>
      </w:r>
    </w:p>
    <w:p w14:paraId="3F4D1501" w14:textId="63A5E355" w:rsidR="0099067E" w:rsidRDefault="00C15D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1C7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1./4.</w:t>
      </w:r>
    </w:p>
    <w:p w14:paraId="0B2B9BBC" w14:textId="77777777" w:rsidR="0099067E" w:rsidRDefault="00C15D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1122D1" w14:textId="3CF8A75A" w:rsidR="0099067E" w:rsidRDefault="00C15DDD" w:rsidP="002B500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32"/>
        </w:rPr>
        <w:t>Haukivuoren aluejohtokunta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32"/>
        </w:rPr>
        <w:t xml:space="preserve"> </w:t>
      </w:r>
    </w:p>
    <w:p w14:paraId="09716C38" w14:textId="249D7AC8" w:rsidR="0099067E" w:rsidRDefault="00C15DDD">
      <w:pPr>
        <w:spacing w:after="44" w:line="226" w:lineRule="auto"/>
        <w:ind w:left="10" w:right="363" w:hanging="10"/>
      </w:pPr>
      <w:r>
        <w:rPr>
          <w:sz w:val="32"/>
        </w:rPr>
        <w:t>23.01.2020/</w:t>
      </w:r>
      <w:r w:rsidR="00293E40">
        <w:rPr>
          <w:sz w:val="32"/>
        </w:rPr>
        <w:t>2</w:t>
      </w:r>
      <w:r w:rsidR="006227DF">
        <w:rPr>
          <w:sz w:val="32"/>
        </w:rPr>
        <w:t>7</w:t>
      </w:r>
      <w:r w:rsidR="00293E40">
        <w:rPr>
          <w:sz w:val="32"/>
        </w:rPr>
        <w:t>.01</w:t>
      </w:r>
      <w:r w:rsidR="006227DF">
        <w:rPr>
          <w:sz w:val="32"/>
        </w:rPr>
        <w:t>.</w:t>
      </w:r>
      <w:r w:rsidR="00293E40">
        <w:rPr>
          <w:sz w:val="32"/>
        </w:rPr>
        <w:t>02020</w:t>
      </w:r>
      <w:r w:rsidR="006227DF">
        <w:rPr>
          <w:sz w:val="32"/>
        </w:rPr>
        <w:t>/10.3.2020/</w:t>
      </w:r>
      <w:r w:rsidR="00293E40">
        <w:rPr>
          <w:sz w:val="32"/>
        </w:rPr>
        <w:t xml:space="preserve"> </w:t>
      </w:r>
      <w:r>
        <w:rPr>
          <w:sz w:val="32"/>
        </w:rPr>
        <w:t xml:space="preserve">LL </w:t>
      </w:r>
    </w:p>
    <w:p w14:paraId="5F514DFA" w14:textId="77777777" w:rsidR="0099067E" w:rsidRDefault="00C15D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9468D" w14:textId="77777777" w:rsidR="0099067E" w:rsidRDefault="00C15DDD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845F65" w14:textId="77777777" w:rsidR="0099067E" w:rsidRDefault="00C15DDD">
      <w:pPr>
        <w:spacing w:after="10" w:line="230" w:lineRule="auto"/>
        <w:ind w:left="10" w:right="29" w:hanging="10"/>
      </w:pPr>
      <w:r>
        <w:rPr>
          <w:sz w:val="31"/>
        </w:rPr>
        <w:t xml:space="preserve">HAUKIVUOREN ALUEJOHTOKUNNAN ESITYS ALUEJOHTOKUNTAJÄRJESTELMÄN JATKUVUUDEN TURVAAMISEKSI. </w:t>
      </w:r>
    </w:p>
    <w:p w14:paraId="484C8D2B" w14:textId="77777777" w:rsidR="0099067E" w:rsidRDefault="00C15D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07E8B" w14:textId="77777777" w:rsidR="0099067E" w:rsidRDefault="00C15DD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935EC1" w14:textId="77777777" w:rsidR="0099067E" w:rsidRDefault="00C15DDD">
      <w:pPr>
        <w:spacing w:after="0"/>
        <w:ind w:right="199"/>
        <w:jc w:val="center"/>
      </w:pPr>
      <w:r>
        <w:rPr>
          <w:sz w:val="32"/>
        </w:rPr>
        <w:t>1.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Nykyinen aluejohtokuntarakenne tulee säilyttää kunnallislain 36 </w:t>
      </w:r>
    </w:p>
    <w:p w14:paraId="58A6FE29" w14:textId="6C2F2F9D" w:rsidR="0099067E" w:rsidRDefault="00C15DDD">
      <w:pPr>
        <w:spacing w:after="44" w:line="226" w:lineRule="auto"/>
        <w:ind w:left="715" w:right="363" w:hanging="10"/>
      </w:pPr>
      <w:r>
        <w:rPr>
          <w:sz w:val="32"/>
        </w:rPr>
        <w:t xml:space="preserve">§: mukaisesti Mikkelin kaupungin organisaation osana. </w:t>
      </w:r>
      <w:r w:rsidR="00C77B4E">
        <w:rPr>
          <w:sz w:val="32"/>
        </w:rPr>
        <w:t xml:space="preserve">Nämä luovat aluejohtokunnalle </w:t>
      </w:r>
      <w:r w:rsidR="00293E40">
        <w:rPr>
          <w:sz w:val="32"/>
        </w:rPr>
        <w:t xml:space="preserve">tarvittavia </w:t>
      </w:r>
      <w:r w:rsidR="00C77B4E">
        <w:rPr>
          <w:sz w:val="32"/>
        </w:rPr>
        <w:t>status-perusteita, jotka strategisesti ovat perustavoitteiden ja työskentelyn edellytykset elin- ja vetovoima</w:t>
      </w:r>
      <w:r w:rsidR="00293E40">
        <w:rPr>
          <w:sz w:val="32"/>
        </w:rPr>
        <w:t>edellytyksille</w:t>
      </w:r>
      <w:r w:rsidR="00C77B4E">
        <w:rPr>
          <w:sz w:val="32"/>
        </w:rPr>
        <w:t xml:space="preserve"> ja asumisviihtyvyyden </w:t>
      </w:r>
      <w:r w:rsidR="00293E40">
        <w:rPr>
          <w:sz w:val="32"/>
        </w:rPr>
        <w:t>aikaansaamiseksi aluejohtokuntien toimialueilla.</w:t>
      </w:r>
    </w:p>
    <w:p w14:paraId="197141E4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28F976E3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055298A4" w14:textId="00E6EC15" w:rsidR="0099067E" w:rsidRDefault="00C15DDD">
      <w:pPr>
        <w:spacing w:after="2" w:line="226" w:lineRule="auto"/>
        <w:ind w:left="715" w:right="363" w:hanging="10"/>
      </w:pPr>
      <w:r>
        <w:rPr>
          <w:sz w:val="32"/>
        </w:rPr>
        <w:t>Emme tue missään muodossa yhdistys- tai kumppanuuspöytä</w:t>
      </w:r>
      <w:r w:rsidR="0059478E">
        <w:rPr>
          <w:sz w:val="32"/>
        </w:rPr>
        <w:t>- tai alueraati</w:t>
      </w:r>
      <w:r>
        <w:rPr>
          <w:sz w:val="32"/>
        </w:rPr>
        <w:t>malle</w:t>
      </w:r>
      <w:r w:rsidR="00293E40">
        <w:rPr>
          <w:sz w:val="32"/>
        </w:rPr>
        <w:t xml:space="preserve">ja. Kumppanuus, </w:t>
      </w:r>
      <w:r w:rsidR="0059478E">
        <w:rPr>
          <w:sz w:val="32"/>
        </w:rPr>
        <w:t xml:space="preserve">alueraati, ja </w:t>
      </w:r>
      <w:r w:rsidR="00293E40">
        <w:rPr>
          <w:sz w:val="32"/>
        </w:rPr>
        <w:t xml:space="preserve">osallisuus ovat nykytermejä asioille, jotka ovat ihmiskunnan vanhoja yhteisöjen </w:t>
      </w:r>
      <w:r w:rsidR="0059478E">
        <w:rPr>
          <w:sz w:val="32"/>
        </w:rPr>
        <w:t>mm. verkosto- ja kumppanuus</w:t>
      </w:r>
      <w:r w:rsidR="00293E40">
        <w:rPr>
          <w:sz w:val="32"/>
        </w:rPr>
        <w:t xml:space="preserve">muotoja, joille on muodostettu uusi </w:t>
      </w:r>
      <w:r w:rsidR="0059478E">
        <w:rPr>
          <w:sz w:val="32"/>
        </w:rPr>
        <w:t>nimikkeistö</w:t>
      </w:r>
      <w:r w:rsidR="00293E40">
        <w:rPr>
          <w:sz w:val="32"/>
        </w:rPr>
        <w:t xml:space="preserve"> mm. hankerahoituksen aikaansaamiseksi. </w:t>
      </w:r>
    </w:p>
    <w:p w14:paraId="4CB68B91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1215182A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4E4CB89B" w14:textId="477DFDEB" w:rsidR="0099067E" w:rsidRDefault="00C15DDD">
      <w:pPr>
        <w:spacing w:after="10" w:line="230" w:lineRule="auto"/>
        <w:ind w:left="715" w:right="29" w:hanging="10"/>
      </w:pPr>
      <w:r>
        <w:rPr>
          <w:sz w:val="31"/>
        </w:rPr>
        <w:t xml:space="preserve">Esittämämme mallin vahvuus, osana </w:t>
      </w:r>
      <w:r w:rsidR="00293E40">
        <w:rPr>
          <w:sz w:val="31"/>
        </w:rPr>
        <w:t xml:space="preserve">kunnallislakia ja toimielimenä </w:t>
      </w:r>
      <w:r>
        <w:rPr>
          <w:sz w:val="31"/>
        </w:rPr>
        <w:t>Mikkelin kaupunkia, o</w:t>
      </w:r>
      <w:r w:rsidR="00293E40">
        <w:rPr>
          <w:sz w:val="31"/>
        </w:rPr>
        <w:t>vat</w:t>
      </w:r>
      <w:r>
        <w:rPr>
          <w:sz w:val="31"/>
        </w:rPr>
        <w:t xml:space="preserve"> strategisten tavoitteiden toteuttamiseksi </w:t>
      </w:r>
      <w:r w:rsidR="00293E40">
        <w:rPr>
          <w:sz w:val="31"/>
        </w:rPr>
        <w:t>välttämättömiä.</w:t>
      </w:r>
      <w:r>
        <w:rPr>
          <w:sz w:val="31"/>
        </w:rPr>
        <w:t xml:space="preserve"> </w:t>
      </w:r>
      <w:r w:rsidR="00293E40">
        <w:rPr>
          <w:sz w:val="31"/>
        </w:rPr>
        <w:t>A</w:t>
      </w:r>
      <w:r>
        <w:rPr>
          <w:sz w:val="31"/>
        </w:rPr>
        <w:t>lueiden kehittäminen vaatii, osin, eri viranomais</w:t>
      </w:r>
      <w:r w:rsidR="006227DF">
        <w:rPr>
          <w:sz w:val="31"/>
        </w:rPr>
        <w:t>-</w:t>
      </w:r>
      <w:r>
        <w:rPr>
          <w:sz w:val="31"/>
        </w:rPr>
        <w:t xml:space="preserve"> </w:t>
      </w:r>
      <w:r w:rsidR="002B5004">
        <w:rPr>
          <w:sz w:val="31"/>
        </w:rPr>
        <w:t>ja yhteisö</w:t>
      </w:r>
      <w:r w:rsidR="00520025">
        <w:rPr>
          <w:sz w:val="31"/>
        </w:rPr>
        <w:t>tahojen</w:t>
      </w:r>
      <w:r w:rsidR="002B5004">
        <w:rPr>
          <w:sz w:val="31"/>
        </w:rPr>
        <w:t xml:space="preserve"> </w:t>
      </w:r>
      <w:r>
        <w:rPr>
          <w:sz w:val="31"/>
        </w:rPr>
        <w:t>laajaa suoraa vuorovaikutusta</w:t>
      </w:r>
      <w:r w:rsidR="002B5004">
        <w:rPr>
          <w:sz w:val="31"/>
        </w:rPr>
        <w:t>,</w:t>
      </w:r>
      <w:r>
        <w:rPr>
          <w:sz w:val="31"/>
        </w:rPr>
        <w:t xml:space="preserve"> yhteistyötä</w:t>
      </w:r>
      <w:r w:rsidR="002B5004">
        <w:rPr>
          <w:sz w:val="31"/>
        </w:rPr>
        <w:t xml:space="preserve"> ja asioiden valmistelua.</w:t>
      </w:r>
      <w:r>
        <w:rPr>
          <w:sz w:val="31"/>
        </w:rPr>
        <w:t xml:space="preserve"> </w:t>
      </w:r>
      <w:r w:rsidR="002B5004">
        <w:rPr>
          <w:sz w:val="31"/>
        </w:rPr>
        <w:t xml:space="preserve"> Keskeisiä kumppaneita </w:t>
      </w:r>
      <w:r>
        <w:rPr>
          <w:sz w:val="31"/>
        </w:rPr>
        <w:t xml:space="preserve">ovat mm. Maakuntaliitto, AVI, ELY, </w:t>
      </w:r>
      <w:r w:rsidR="0059478E">
        <w:rPr>
          <w:sz w:val="31"/>
        </w:rPr>
        <w:t xml:space="preserve">kalatalousalueet, vesiosakaskunnat, </w:t>
      </w:r>
      <w:proofErr w:type="spellStart"/>
      <w:r w:rsidR="00C77B4E">
        <w:rPr>
          <w:sz w:val="31"/>
        </w:rPr>
        <w:t>Essote</w:t>
      </w:r>
      <w:proofErr w:type="spellEnd"/>
      <w:r w:rsidR="00C77B4E">
        <w:rPr>
          <w:sz w:val="31"/>
        </w:rPr>
        <w:t xml:space="preserve">, </w:t>
      </w:r>
      <w:r>
        <w:rPr>
          <w:sz w:val="31"/>
        </w:rPr>
        <w:t>Vaasan Hallinto</w:t>
      </w:r>
      <w:r w:rsidR="00C77B4E">
        <w:rPr>
          <w:sz w:val="31"/>
        </w:rPr>
        <w:t>-</w:t>
      </w:r>
      <w:r>
        <w:rPr>
          <w:sz w:val="31"/>
        </w:rPr>
        <w:t>oikeus</w:t>
      </w:r>
      <w:r w:rsidR="002B5004">
        <w:rPr>
          <w:sz w:val="31"/>
        </w:rPr>
        <w:t>, lähikunnat ja</w:t>
      </w:r>
      <w:r>
        <w:rPr>
          <w:sz w:val="31"/>
        </w:rPr>
        <w:t xml:space="preserve"> </w:t>
      </w:r>
      <w:r w:rsidR="002B5004">
        <w:rPr>
          <w:sz w:val="31"/>
        </w:rPr>
        <w:t xml:space="preserve">kaupungit </w:t>
      </w:r>
      <w:r>
        <w:rPr>
          <w:sz w:val="31"/>
        </w:rPr>
        <w:t xml:space="preserve">sekä erityisesti </w:t>
      </w:r>
      <w:r w:rsidR="002B5004">
        <w:rPr>
          <w:sz w:val="31"/>
        </w:rPr>
        <w:t xml:space="preserve">Mikkelin </w:t>
      </w:r>
      <w:r>
        <w:rPr>
          <w:sz w:val="31"/>
        </w:rPr>
        <w:t xml:space="preserve">kaupungin toimintasektoreina, kaupunginhallitus, asumisen ja </w:t>
      </w:r>
      <w:r w:rsidR="00DF21CC">
        <w:rPr>
          <w:sz w:val="31"/>
        </w:rPr>
        <w:t>toiminta</w:t>
      </w:r>
      <w:r>
        <w:rPr>
          <w:sz w:val="31"/>
        </w:rPr>
        <w:t xml:space="preserve">ympäristöpalvelut sekä liikunta. </w:t>
      </w:r>
      <w:r w:rsidR="0059478E">
        <w:rPr>
          <w:sz w:val="31"/>
        </w:rPr>
        <w:t>Hyvinvoinnin osallisuuslautakunnan sektoreiden kanssa ei ole muuta toiminnallista tekemistä kuin lisäbyrokratiatoimivaatimus asioiden kierrättämäksi ja toimintojen luvan saamiseksi</w:t>
      </w:r>
      <w:r w:rsidR="00520025">
        <w:rPr>
          <w:sz w:val="31"/>
        </w:rPr>
        <w:t>.</w:t>
      </w:r>
      <w:r w:rsidR="0059478E">
        <w:rPr>
          <w:sz w:val="31"/>
        </w:rPr>
        <w:t xml:space="preserve"> </w:t>
      </w:r>
      <w:r w:rsidR="00520025">
        <w:rPr>
          <w:sz w:val="31"/>
        </w:rPr>
        <w:t>A</w:t>
      </w:r>
      <w:r w:rsidR="00DF21CC">
        <w:rPr>
          <w:sz w:val="31"/>
        </w:rPr>
        <w:t>si</w:t>
      </w:r>
      <w:r w:rsidR="00520025">
        <w:rPr>
          <w:sz w:val="31"/>
        </w:rPr>
        <w:t xml:space="preserve">oista ja niiden taustoista </w:t>
      </w:r>
      <w:r w:rsidR="0059478E">
        <w:rPr>
          <w:sz w:val="31"/>
        </w:rPr>
        <w:t>pääosin puuttuu lautakunnan kompetenssi.</w:t>
      </w:r>
    </w:p>
    <w:p w14:paraId="7052F8BC" w14:textId="77777777" w:rsidR="0099067E" w:rsidRDefault="00C15DDD">
      <w:pPr>
        <w:spacing w:after="0"/>
      </w:pPr>
      <w:r>
        <w:rPr>
          <w:sz w:val="32"/>
        </w:rPr>
        <w:lastRenderedPageBreak/>
        <w:t xml:space="preserve"> </w:t>
      </w:r>
    </w:p>
    <w:p w14:paraId="3A1D29C0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656F8112" w14:textId="77777777" w:rsidR="0059478E" w:rsidRDefault="0059478E">
      <w:pPr>
        <w:spacing w:after="2" w:line="226" w:lineRule="auto"/>
        <w:ind w:left="715" w:right="363" w:hanging="10"/>
        <w:rPr>
          <w:sz w:val="32"/>
        </w:rPr>
      </w:pPr>
    </w:p>
    <w:p w14:paraId="7896CEC3" w14:textId="77777777" w:rsidR="0059478E" w:rsidRDefault="0059478E">
      <w:pPr>
        <w:spacing w:after="2" w:line="226" w:lineRule="auto"/>
        <w:ind w:left="715" w:right="363" w:hanging="10"/>
        <w:rPr>
          <w:sz w:val="32"/>
        </w:rPr>
      </w:pPr>
    </w:p>
    <w:p w14:paraId="7550368C" w14:textId="77777777" w:rsidR="0059478E" w:rsidRDefault="0059478E">
      <w:pPr>
        <w:spacing w:after="2" w:line="226" w:lineRule="auto"/>
        <w:ind w:left="715" w:right="363" w:hanging="10"/>
        <w:rPr>
          <w:sz w:val="32"/>
        </w:rPr>
      </w:pPr>
    </w:p>
    <w:p w14:paraId="1CB60CD7" w14:textId="2229E1E7" w:rsidR="0059478E" w:rsidRDefault="00824F57">
      <w:pPr>
        <w:spacing w:after="2" w:line="226" w:lineRule="auto"/>
        <w:ind w:left="715" w:right="363" w:hanging="10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2.</w:t>
      </w:r>
    </w:p>
    <w:p w14:paraId="134FD5F1" w14:textId="0321A933" w:rsidR="00824F57" w:rsidRPr="0059478E" w:rsidRDefault="00C15DDD" w:rsidP="00520025">
      <w:pPr>
        <w:spacing w:after="2" w:line="226" w:lineRule="auto"/>
        <w:ind w:left="715" w:right="363" w:hanging="10"/>
        <w:rPr>
          <w:sz w:val="32"/>
        </w:rPr>
      </w:pPr>
      <w:r>
        <w:rPr>
          <w:sz w:val="32"/>
        </w:rPr>
        <w:t xml:space="preserve">Edellä oleva </w:t>
      </w:r>
      <w:proofErr w:type="spellStart"/>
      <w:r>
        <w:rPr>
          <w:sz w:val="32"/>
        </w:rPr>
        <w:t>konkre</w:t>
      </w:r>
      <w:r w:rsidR="00DF21CC">
        <w:rPr>
          <w:sz w:val="32"/>
        </w:rPr>
        <w:t>tia</w:t>
      </w:r>
      <w:proofErr w:type="spellEnd"/>
      <w:r w:rsidR="00DF21CC">
        <w:rPr>
          <w:sz w:val="32"/>
        </w:rPr>
        <w:t xml:space="preserve"> kertoo, että aluejohtokunnat</w:t>
      </w:r>
      <w:r>
        <w:rPr>
          <w:sz w:val="32"/>
        </w:rPr>
        <w:t xml:space="preserve"> eivät sovi luontevasti minkään lautakunnan ohjaukseen, vaan sijoite</w:t>
      </w:r>
      <w:r w:rsidR="0059478E">
        <w:rPr>
          <w:sz w:val="32"/>
        </w:rPr>
        <w:t xml:space="preserve">ttuna </w:t>
      </w:r>
      <w:r>
        <w:rPr>
          <w:sz w:val="32"/>
        </w:rPr>
        <w:t xml:space="preserve">perusorganisaatiomallina suoraan kaupunginhallituksen alle, joka näin on selkeästi määriteltävä 1.7.2020 alkaen. </w:t>
      </w:r>
      <w:r w:rsidR="0081540E">
        <w:rPr>
          <w:sz w:val="32"/>
        </w:rPr>
        <w:t>Tämä ei</w:t>
      </w:r>
      <w:r w:rsidR="0059478E">
        <w:rPr>
          <w:sz w:val="32"/>
        </w:rPr>
        <w:t xml:space="preserve"> </w:t>
      </w:r>
      <w:r w:rsidR="0081540E">
        <w:rPr>
          <w:sz w:val="32"/>
        </w:rPr>
        <w:t>kuormita kaupunginhallitusta, koska mallissa työskentely aluejohtokuntien ja kaupungin</w:t>
      </w:r>
      <w:r w:rsidR="00824F57">
        <w:rPr>
          <w:sz w:val="32"/>
        </w:rPr>
        <w:t xml:space="preserve"> </w:t>
      </w:r>
      <w:r w:rsidR="0081540E">
        <w:rPr>
          <w:sz w:val="32"/>
        </w:rPr>
        <w:t>alakeskusten merkittävien toimien kesken tapahtuu pääsääntöisesti</w:t>
      </w:r>
      <w:r w:rsidR="0059478E">
        <w:rPr>
          <w:sz w:val="32"/>
        </w:rPr>
        <w:t xml:space="preserve"> suoraan </w:t>
      </w:r>
      <w:r w:rsidR="0081540E">
        <w:rPr>
          <w:sz w:val="32"/>
        </w:rPr>
        <w:t xml:space="preserve">asumisen ja </w:t>
      </w:r>
      <w:r w:rsidR="00DF21CC">
        <w:rPr>
          <w:sz w:val="32"/>
        </w:rPr>
        <w:t>toiminta</w:t>
      </w:r>
      <w:r w:rsidR="0081540E">
        <w:rPr>
          <w:sz w:val="32"/>
        </w:rPr>
        <w:t xml:space="preserve">ympäristö- </w:t>
      </w:r>
      <w:r w:rsidR="00520025">
        <w:rPr>
          <w:sz w:val="32"/>
        </w:rPr>
        <w:t>sekä</w:t>
      </w:r>
      <w:r w:rsidR="0081540E">
        <w:rPr>
          <w:sz w:val="32"/>
        </w:rPr>
        <w:t xml:space="preserve"> </w:t>
      </w:r>
      <w:r w:rsidR="00520025">
        <w:rPr>
          <w:sz w:val="32"/>
        </w:rPr>
        <w:t>liikunta-organisaatio-osien</w:t>
      </w:r>
      <w:r w:rsidR="0059478E">
        <w:rPr>
          <w:sz w:val="32"/>
        </w:rPr>
        <w:t xml:space="preserve"> kanssa</w:t>
      </w:r>
      <w:r w:rsidR="0081540E">
        <w:rPr>
          <w:sz w:val="32"/>
        </w:rPr>
        <w:t xml:space="preserve">. Vain isompien strategisten tarpeiden osalta kysymykseen tulevat esitykset </w:t>
      </w:r>
      <w:r w:rsidR="00520025">
        <w:rPr>
          <w:sz w:val="32"/>
        </w:rPr>
        <w:t xml:space="preserve">suoraan </w:t>
      </w:r>
      <w:r w:rsidR="0081540E">
        <w:rPr>
          <w:sz w:val="32"/>
        </w:rPr>
        <w:t>kaupunginhallitukselle, jotka yleensä käsitellään jo talousarvioiden pääkohdissa.</w:t>
      </w:r>
      <w:r w:rsidR="00824F57">
        <w:rPr>
          <w:sz w:val="32"/>
        </w:rPr>
        <w:t xml:space="preserve"> Malli on </w:t>
      </w:r>
      <w:r w:rsidR="00DF21CC">
        <w:rPr>
          <w:sz w:val="32"/>
        </w:rPr>
        <w:t>tältä osin</w:t>
      </w:r>
      <w:r w:rsidR="00520025">
        <w:rPr>
          <w:sz w:val="32"/>
        </w:rPr>
        <w:t xml:space="preserve"> </w:t>
      </w:r>
      <w:r w:rsidR="00824F57">
        <w:rPr>
          <w:sz w:val="32"/>
        </w:rPr>
        <w:t>sama, joka toimi erinomaisesti ennen v. 2017 aluejohtokuntauudistusta.</w:t>
      </w:r>
    </w:p>
    <w:p w14:paraId="65B5EA25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0EE48D7F" w14:textId="77777777" w:rsidR="0099067E" w:rsidRDefault="00C15DDD">
      <w:pPr>
        <w:spacing w:after="0"/>
      </w:pPr>
      <w:r>
        <w:rPr>
          <w:sz w:val="32"/>
        </w:rPr>
        <w:t xml:space="preserve"> </w:t>
      </w:r>
    </w:p>
    <w:p w14:paraId="4A673477" w14:textId="4702CF02" w:rsidR="0099067E" w:rsidRPr="00DE01C3" w:rsidRDefault="00DF21CC" w:rsidP="00DE01C3">
      <w:pPr>
        <w:pStyle w:val="Luettelokappale"/>
        <w:numPr>
          <w:ilvl w:val="0"/>
          <w:numId w:val="4"/>
        </w:numPr>
        <w:spacing w:after="2" w:line="226" w:lineRule="auto"/>
        <w:ind w:right="363"/>
      </w:pPr>
      <w:r>
        <w:rPr>
          <w:sz w:val="32"/>
        </w:rPr>
        <w:t>Aluekoordinaattori</w:t>
      </w:r>
      <w:r w:rsidR="00C15DDD" w:rsidRPr="00DE01C3">
        <w:rPr>
          <w:sz w:val="32"/>
        </w:rPr>
        <w:t xml:space="preserve">toimi on ehdottomasti säilytettävä. Hän toimii tarvittaessa yhteyshenkilönä eri kaupungin organisaatioiden ja aluejohtokuntien välillä sekä tukee kokous- ja tukipalveluja. Jos </w:t>
      </w:r>
      <w:r>
        <w:rPr>
          <w:sz w:val="32"/>
        </w:rPr>
        <w:t>toimi</w:t>
      </w:r>
      <w:r w:rsidR="00C15DDD" w:rsidRPr="00DE01C3">
        <w:rPr>
          <w:sz w:val="32"/>
        </w:rPr>
        <w:t xml:space="preserve"> </w:t>
      </w:r>
      <w:proofErr w:type="gramStart"/>
      <w:r w:rsidR="00C15DDD" w:rsidRPr="00DE01C3">
        <w:rPr>
          <w:sz w:val="32"/>
        </w:rPr>
        <w:t>sijoitetaan vastoin</w:t>
      </w:r>
      <w:proofErr w:type="gramEnd"/>
      <w:r w:rsidR="00C15DDD" w:rsidRPr="00DE01C3">
        <w:rPr>
          <w:sz w:val="32"/>
        </w:rPr>
        <w:t xml:space="preserve"> aluejohtokuntien tahtoa</w:t>
      </w:r>
      <w:r>
        <w:rPr>
          <w:sz w:val="32"/>
        </w:rPr>
        <w:t>,</w:t>
      </w:r>
      <w:r w:rsidR="00C15DDD" w:rsidRPr="00DE01C3">
        <w:rPr>
          <w:sz w:val="32"/>
        </w:rPr>
        <w:t xml:space="preserve"> esim. H</w:t>
      </w:r>
      <w:r w:rsidR="00DE01C3">
        <w:rPr>
          <w:sz w:val="32"/>
        </w:rPr>
        <w:t>Y</w:t>
      </w:r>
      <w:r w:rsidR="00C15DDD" w:rsidRPr="00DE01C3">
        <w:rPr>
          <w:sz w:val="32"/>
        </w:rPr>
        <w:t>VOS</w:t>
      </w:r>
      <w:r w:rsidR="00DE01C3">
        <w:rPr>
          <w:sz w:val="32"/>
        </w:rPr>
        <w:t>-</w:t>
      </w:r>
      <w:r w:rsidR="00C15DDD" w:rsidRPr="00DE01C3">
        <w:rPr>
          <w:sz w:val="32"/>
        </w:rPr>
        <w:t>lautakunnan alaisuuteen, on aluekoordinaattorin saatava osallistua</w:t>
      </w:r>
      <w:r w:rsidR="0081540E">
        <w:rPr>
          <w:sz w:val="32"/>
        </w:rPr>
        <w:t xml:space="preserve"> aina aluejohtokuntien </w:t>
      </w:r>
      <w:r>
        <w:rPr>
          <w:sz w:val="32"/>
        </w:rPr>
        <w:t xml:space="preserve">asioiden </w:t>
      </w:r>
      <w:r w:rsidR="0081540E">
        <w:rPr>
          <w:sz w:val="32"/>
        </w:rPr>
        <w:t>käsittelyn ajan ko. kokouksissa</w:t>
      </w:r>
      <w:r w:rsidR="00C15DDD" w:rsidRPr="00DE01C3">
        <w:rPr>
          <w:sz w:val="32"/>
        </w:rPr>
        <w:t xml:space="preserve"> käsittelyasioiden ja perusteiden todenperäisyyden varmistamiseksi. </w:t>
      </w:r>
    </w:p>
    <w:p w14:paraId="559312CF" w14:textId="77777777" w:rsidR="00DE01C3" w:rsidRDefault="00DE01C3" w:rsidP="00DE01C3">
      <w:pPr>
        <w:pStyle w:val="Luettelokappale"/>
        <w:spacing w:after="2" w:line="226" w:lineRule="auto"/>
        <w:ind w:right="363"/>
      </w:pPr>
    </w:p>
    <w:p w14:paraId="74548894" w14:textId="77777777" w:rsidR="0099067E" w:rsidRDefault="00C15DDD">
      <w:pPr>
        <w:spacing w:after="11"/>
        <w:ind w:left="720"/>
      </w:pPr>
      <w:r>
        <w:rPr>
          <w:sz w:val="31"/>
        </w:rPr>
        <w:t xml:space="preserve"> </w:t>
      </w:r>
    </w:p>
    <w:p w14:paraId="29CF8B79" w14:textId="4F54ACFE" w:rsidR="008D609B" w:rsidRPr="008D609B" w:rsidRDefault="00C15DDD" w:rsidP="00DE01C3">
      <w:pPr>
        <w:pStyle w:val="Luettelokappale"/>
        <w:numPr>
          <w:ilvl w:val="0"/>
          <w:numId w:val="4"/>
        </w:numPr>
        <w:spacing w:after="10" w:line="230" w:lineRule="auto"/>
        <w:ind w:right="363"/>
      </w:pPr>
      <w:r w:rsidRPr="00DE01C3">
        <w:rPr>
          <w:sz w:val="31"/>
        </w:rPr>
        <w:t xml:space="preserve">Aluejohtokuntien toimintarooli ja toimenpiteiden laajuus määritellään pitemmän tähtäyksen aluestrategisten linjausten mukaisesti jokaisen aluejohtokunnan toimesta omaan </w:t>
      </w:r>
      <w:r w:rsidR="00DF21CC" w:rsidRPr="00DE01C3">
        <w:rPr>
          <w:sz w:val="31"/>
        </w:rPr>
        <w:t>yksilöllisiin</w:t>
      </w:r>
      <w:r w:rsidRPr="00DE01C3">
        <w:rPr>
          <w:sz w:val="31"/>
        </w:rPr>
        <w:t xml:space="preserve"> toiminta-aluee</w:t>
      </w:r>
      <w:r w:rsidR="00DF21CC">
        <w:rPr>
          <w:sz w:val="31"/>
        </w:rPr>
        <w:t>n kehittämistarpeisiin.</w:t>
      </w:r>
      <w:r w:rsidRPr="00DE01C3">
        <w:rPr>
          <w:sz w:val="31"/>
        </w:rPr>
        <w:t xml:space="preserve"> </w:t>
      </w:r>
      <w:r w:rsidR="008D609B">
        <w:rPr>
          <w:sz w:val="31"/>
        </w:rPr>
        <w:t>Näin luodaan pitemmän tähtäimen ”pitäjävisio” toimenpiteiden lähtökohdaksi jokaisen aluejohtokunnan alueella.</w:t>
      </w:r>
    </w:p>
    <w:p w14:paraId="4FE8C54D" w14:textId="77777777" w:rsidR="008D609B" w:rsidRDefault="008D609B" w:rsidP="008D609B">
      <w:pPr>
        <w:pStyle w:val="Luettelokappale"/>
        <w:spacing w:after="10" w:line="230" w:lineRule="auto"/>
        <w:ind w:right="363"/>
        <w:rPr>
          <w:sz w:val="31"/>
        </w:rPr>
      </w:pPr>
    </w:p>
    <w:p w14:paraId="6A087D50" w14:textId="1A2671CF" w:rsidR="0099067E" w:rsidRPr="00DE01C3" w:rsidRDefault="00C15DDD" w:rsidP="008D609B">
      <w:pPr>
        <w:pStyle w:val="Luettelokappale"/>
        <w:spacing w:after="10" w:line="230" w:lineRule="auto"/>
        <w:ind w:right="363"/>
      </w:pPr>
      <w:r w:rsidRPr="00DE01C3">
        <w:rPr>
          <w:sz w:val="31"/>
        </w:rPr>
        <w:t xml:space="preserve">Haukivuoren persoonallinen toimintamalli (www.haukivuori.fi) on v. 11/2014 lähtien ollut aluejohtokuntatyön perusta. Se on osoittautunut toimivaksi, aikaansaavaksi, laajasti eri tahojen osallisuutta ja lähidemokratiaa tukevaksi toimintakokonaisuudeksi. </w:t>
      </w:r>
    </w:p>
    <w:p w14:paraId="06456033" w14:textId="77777777" w:rsidR="00DE01C3" w:rsidRDefault="00DE01C3" w:rsidP="00DE01C3">
      <w:pPr>
        <w:pStyle w:val="Luettelokappale"/>
        <w:spacing w:after="10" w:line="230" w:lineRule="auto"/>
        <w:ind w:right="363"/>
      </w:pPr>
    </w:p>
    <w:p w14:paraId="62BC6776" w14:textId="77777777" w:rsidR="0099067E" w:rsidRDefault="00C15DDD">
      <w:pPr>
        <w:spacing w:after="14"/>
        <w:ind w:left="716"/>
      </w:pPr>
      <w:r>
        <w:rPr>
          <w:sz w:val="31"/>
        </w:rPr>
        <w:lastRenderedPageBreak/>
        <w:t xml:space="preserve"> </w:t>
      </w:r>
    </w:p>
    <w:p w14:paraId="777047F1" w14:textId="77777777" w:rsidR="00824F57" w:rsidRPr="00824F57" w:rsidRDefault="00824F57" w:rsidP="00824F57">
      <w:pPr>
        <w:spacing w:after="147" w:line="226" w:lineRule="auto"/>
        <w:ind w:left="720" w:right="363"/>
      </w:pPr>
    </w:p>
    <w:p w14:paraId="330F7E60" w14:textId="22E10F4A" w:rsidR="00824F57" w:rsidRDefault="00824F57" w:rsidP="00824F57">
      <w:pPr>
        <w:spacing w:after="147" w:line="226" w:lineRule="auto"/>
        <w:ind w:left="720" w:right="363"/>
      </w:pPr>
      <w:r>
        <w:t xml:space="preserve">                                                                                                                                                                          </w:t>
      </w:r>
    </w:p>
    <w:p w14:paraId="2F143E42" w14:textId="78847E61" w:rsidR="00824F57" w:rsidRPr="00824F57" w:rsidRDefault="00824F57" w:rsidP="00824F57">
      <w:pPr>
        <w:spacing w:after="147" w:line="226" w:lineRule="auto"/>
        <w:ind w:left="720" w:right="363"/>
      </w:pPr>
      <w:r>
        <w:t xml:space="preserve">                                                                                                                                                                       3.</w:t>
      </w:r>
    </w:p>
    <w:p w14:paraId="22915E40" w14:textId="6EA41675" w:rsidR="0099067E" w:rsidRPr="00824F57" w:rsidRDefault="00C15DDD" w:rsidP="00824F57">
      <w:pPr>
        <w:numPr>
          <w:ilvl w:val="0"/>
          <w:numId w:val="4"/>
        </w:numPr>
        <w:spacing w:after="147" w:line="226" w:lineRule="auto"/>
        <w:ind w:right="363"/>
      </w:pPr>
      <w:r>
        <w:rPr>
          <w:sz w:val="32"/>
        </w:rPr>
        <w:t xml:space="preserve">Aluejohtokuntien strategiat käydään toimintakauden alkuvaiheessa läpi kaupungin määrittelemän organisaatio-osan </w:t>
      </w:r>
      <w:r w:rsidRPr="00824F57">
        <w:rPr>
          <w:sz w:val="32"/>
        </w:rPr>
        <w:t>kanssa niin, että ne eivät ole ristiriidassa kaupungin strategian tai eri sääntöjen kanssa</w:t>
      </w:r>
      <w:r w:rsidR="00824F57">
        <w:rPr>
          <w:sz w:val="32"/>
        </w:rPr>
        <w:t xml:space="preserve"> ja osoittavat alueiden pitemmän tähtäimen kehityksen suunnan</w:t>
      </w:r>
      <w:r w:rsidR="00824F57">
        <w:rPr>
          <w:sz w:val="31"/>
        </w:rPr>
        <w:t xml:space="preserve">. </w:t>
      </w:r>
      <w:r w:rsidRPr="00824F57">
        <w:rPr>
          <w:sz w:val="32"/>
        </w:rPr>
        <w:t xml:space="preserve">Näin poistetaan nykyistä aktiivista toimintaa häiritsevät </w:t>
      </w:r>
      <w:r w:rsidR="00824F57">
        <w:rPr>
          <w:sz w:val="32"/>
        </w:rPr>
        <w:t>ohjaus</w:t>
      </w:r>
      <w:r w:rsidRPr="00824F57">
        <w:rPr>
          <w:sz w:val="32"/>
        </w:rPr>
        <w:t xml:space="preserve">konfliktit, epämääräisyydet ja jatkuvat </w:t>
      </w:r>
      <w:proofErr w:type="gramStart"/>
      <w:r w:rsidRPr="00824F57">
        <w:rPr>
          <w:sz w:val="32"/>
        </w:rPr>
        <w:t>tulkinta</w:t>
      </w:r>
      <w:r w:rsidR="00824F57">
        <w:rPr>
          <w:sz w:val="32"/>
        </w:rPr>
        <w:t>-</w:t>
      </w:r>
      <w:r w:rsidR="003C2B9E">
        <w:rPr>
          <w:sz w:val="32"/>
        </w:rPr>
        <w:t>erimielisyydet</w:t>
      </w:r>
      <w:proofErr w:type="gramEnd"/>
      <w:r w:rsidR="003C2B9E">
        <w:rPr>
          <w:sz w:val="32"/>
        </w:rPr>
        <w:t>. Samalla tällä käsittelyllä määritellään aluejohto-kunnille ja niiden puheenjohtajille sama toiminnan vaatimustaso</w:t>
      </w:r>
      <w:r w:rsidRPr="00824F57">
        <w:rPr>
          <w:sz w:val="32"/>
        </w:rPr>
        <w:t xml:space="preserve">. </w:t>
      </w:r>
    </w:p>
    <w:p w14:paraId="4732131D" w14:textId="77777777" w:rsidR="00DE01C3" w:rsidRDefault="00DE01C3">
      <w:pPr>
        <w:spacing w:after="2" w:line="226" w:lineRule="auto"/>
        <w:ind w:left="715" w:right="363" w:hanging="10"/>
        <w:rPr>
          <w:sz w:val="32"/>
        </w:rPr>
      </w:pPr>
    </w:p>
    <w:p w14:paraId="00821C71" w14:textId="276483D7" w:rsidR="008D609B" w:rsidRDefault="008D609B" w:rsidP="00DE01C3">
      <w:pPr>
        <w:spacing w:after="10" w:line="230" w:lineRule="auto"/>
        <w:ind w:right="29"/>
        <w:rPr>
          <w:sz w:val="31"/>
        </w:rPr>
      </w:pPr>
      <w:r>
        <w:rPr>
          <w:sz w:val="31"/>
        </w:rPr>
        <w:t xml:space="preserve">   </w:t>
      </w:r>
      <w:r w:rsidR="00DE01C3">
        <w:rPr>
          <w:sz w:val="31"/>
        </w:rPr>
        <w:t xml:space="preserve"> 5.   Nykyin</w:t>
      </w:r>
      <w:r w:rsidR="00556CAA">
        <w:rPr>
          <w:sz w:val="31"/>
        </w:rPr>
        <w:t>en kaupungin perustoimintamalli:</w:t>
      </w:r>
      <w:r w:rsidR="00DE01C3">
        <w:rPr>
          <w:sz w:val="31"/>
        </w:rPr>
        <w:t xml:space="preserve"> </w:t>
      </w:r>
      <w:r>
        <w:rPr>
          <w:sz w:val="31"/>
        </w:rPr>
        <w:t xml:space="preserve">TEHDÄ ALOITTEITA, ANTAA </w:t>
      </w:r>
    </w:p>
    <w:p w14:paraId="067E6DD2" w14:textId="77777777" w:rsidR="008D609B" w:rsidRDefault="008D609B" w:rsidP="00DE01C3">
      <w:pPr>
        <w:spacing w:after="10" w:line="230" w:lineRule="auto"/>
        <w:ind w:right="29"/>
        <w:rPr>
          <w:sz w:val="31"/>
        </w:rPr>
      </w:pPr>
      <w:r>
        <w:rPr>
          <w:sz w:val="31"/>
        </w:rPr>
        <w:t xml:space="preserve">          TARVITTAESSA LAUSUNTOJA JA JAKAA AVUSTUKSIA</w:t>
      </w:r>
      <w:r w:rsidR="00DE01C3">
        <w:rPr>
          <w:sz w:val="31"/>
        </w:rPr>
        <w:t xml:space="preserve">, ei toimi, eikä </w:t>
      </w:r>
    </w:p>
    <w:p w14:paraId="412E3944" w14:textId="37BDC6F4" w:rsidR="008D609B" w:rsidRDefault="008D609B" w:rsidP="00DE01C3">
      <w:pPr>
        <w:spacing w:after="10" w:line="230" w:lineRule="auto"/>
        <w:ind w:right="29"/>
        <w:rPr>
          <w:sz w:val="31"/>
        </w:rPr>
      </w:pPr>
      <w:r>
        <w:rPr>
          <w:sz w:val="31"/>
        </w:rPr>
        <w:t xml:space="preserve">  </w:t>
      </w:r>
      <w:r w:rsidR="0081540E">
        <w:rPr>
          <w:sz w:val="31"/>
        </w:rPr>
        <w:t xml:space="preserve">       </w:t>
      </w:r>
      <w:r>
        <w:rPr>
          <w:sz w:val="31"/>
        </w:rPr>
        <w:t xml:space="preserve"> </w:t>
      </w:r>
      <w:r w:rsidR="00DE01C3">
        <w:rPr>
          <w:sz w:val="31"/>
        </w:rPr>
        <w:t>tuota</w:t>
      </w:r>
      <w:r>
        <w:rPr>
          <w:sz w:val="31"/>
        </w:rPr>
        <w:t xml:space="preserve"> </w:t>
      </w:r>
      <w:r w:rsidR="00DE01C3">
        <w:rPr>
          <w:sz w:val="31"/>
        </w:rPr>
        <w:t>riittävää toiminnan vaatimustasoa ja kehitystä, mitä alakeskus</w:t>
      </w:r>
      <w:r>
        <w:rPr>
          <w:sz w:val="31"/>
        </w:rPr>
        <w:t>-</w:t>
      </w:r>
    </w:p>
    <w:p w14:paraId="63AE2145" w14:textId="77777777" w:rsidR="008D609B" w:rsidRDefault="008D609B" w:rsidP="00DE01C3">
      <w:pPr>
        <w:spacing w:after="10" w:line="230" w:lineRule="auto"/>
        <w:ind w:right="29"/>
        <w:rPr>
          <w:sz w:val="31"/>
        </w:rPr>
      </w:pPr>
      <w:r>
        <w:rPr>
          <w:sz w:val="31"/>
        </w:rPr>
        <w:t xml:space="preserve">          </w:t>
      </w:r>
      <w:proofErr w:type="spellStart"/>
      <w:r w:rsidR="00DE01C3">
        <w:rPr>
          <w:sz w:val="31"/>
        </w:rPr>
        <w:t>ten</w:t>
      </w:r>
      <w:proofErr w:type="spellEnd"/>
      <w:r>
        <w:rPr>
          <w:sz w:val="31"/>
        </w:rPr>
        <w:t xml:space="preserve"> </w:t>
      </w:r>
      <w:r w:rsidR="00DE01C3">
        <w:rPr>
          <w:sz w:val="31"/>
        </w:rPr>
        <w:t xml:space="preserve">aikaansaava ja tuloksekas elin- ja vetovoimakehitys kaupungin </w:t>
      </w:r>
    </w:p>
    <w:p w14:paraId="5D2C23B2" w14:textId="5A626736" w:rsidR="00DE01C3" w:rsidRDefault="008D609B" w:rsidP="00DE01C3">
      <w:pPr>
        <w:spacing w:after="10" w:line="230" w:lineRule="auto"/>
        <w:ind w:right="29"/>
        <w:rPr>
          <w:sz w:val="31"/>
        </w:rPr>
      </w:pPr>
      <w:r>
        <w:rPr>
          <w:sz w:val="31"/>
        </w:rPr>
        <w:t xml:space="preserve">          </w:t>
      </w:r>
      <w:r w:rsidR="00DE01C3">
        <w:rPr>
          <w:sz w:val="31"/>
        </w:rPr>
        <w:t>osana</w:t>
      </w:r>
      <w:r>
        <w:rPr>
          <w:sz w:val="31"/>
        </w:rPr>
        <w:t xml:space="preserve"> </w:t>
      </w:r>
      <w:r w:rsidR="00DE01C3">
        <w:rPr>
          <w:sz w:val="31"/>
        </w:rPr>
        <w:t>vaatii. Eikä motivoi tekijöitä!</w:t>
      </w:r>
    </w:p>
    <w:p w14:paraId="30E5F921" w14:textId="77777777" w:rsidR="008D609B" w:rsidRDefault="008D609B" w:rsidP="008D609B">
      <w:pPr>
        <w:spacing w:after="10" w:line="230" w:lineRule="auto"/>
        <w:ind w:right="29"/>
        <w:rPr>
          <w:sz w:val="31"/>
        </w:rPr>
      </w:pPr>
    </w:p>
    <w:p w14:paraId="1B49EC3C" w14:textId="2D37E249" w:rsidR="0099067E" w:rsidRPr="008D609B" w:rsidRDefault="008D609B" w:rsidP="008D609B">
      <w:pPr>
        <w:spacing w:after="10" w:line="230" w:lineRule="auto"/>
        <w:ind w:right="29"/>
        <w:rPr>
          <w:sz w:val="31"/>
        </w:rPr>
      </w:pPr>
      <w:r>
        <w:rPr>
          <w:sz w:val="31"/>
        </w:rPr>
        <w:t xml:space="preserve">    </w:t>
      </w:r>
      <w:r w:rsidR="00C15DDD">
        <w:rPr>
          <w:rFonts w:ascii="Times New Roman" w:eastAsia="Times New Roman" w:hAnsi="Times New Roman" w:cs="Times New Roman"/>
          <w:b/>
          <w:sz w:val="48"/>
        </w:rPr>
        <w:t xml:space="preserve">”HAUKIVUOREN ALUEJOHTOKUNNAN </w:t>
      </w:r>
    </w:p>
    <w:p w14:paraId="7DF86E8B" w14:textId="0CC0C920" w:rsidR="0099067E" w:rsidRDefault="00C15DDD">
      <w:pPr>
        <w:spacing w:after="21" w:line="249" w:lineRule="auto"/>
        <w:ind w:left="293" w:hanging="10"/>
      </w:pPr>
      <w:r>
        <w:rPr>
          <w:rFonts w:ascii="Times New Roman" w:eastAsia="Times New Roman" w:hAnsi="Times New Roman" w:cs="Times New Roman"/>
          <w:b/>
          <w:sz w:val="48"/>
        </w:rPr>
        <w:t>STRATEGISIA LINJAUKSIA vv. 2017 – 202</w:t>
      </w:r>
      <w:r w:rsidR="008D609B">
        <w:rPr>
          <w:rFonts w:ascii="Times New Roman" w:eastAsia="Times New Roman" w:hAnsi="Times New Roman" w:cs="Times New Roman"/>
          <w:b/>
          <w:sz w:val="48"/>
        </w:rPr>
        <w:t>1”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3EB5C5E7" w14:textId="77777777" w:rsidR="0099067E" w:rsidRDefault="00C15DDD">
      <w:pPr>
        <w:spacing w:after="256"/>
        <w:ind w:left="29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Viite: 13.12.2014 hyväksytty strategia vv. 2015 – 2017 </w:t>
      </w:r>
    </w:p>
    <w:p w14:paraId="5E760F0D" w14:textId="77777777" w:rsidR="0099067E" w:rsidRDefault="00C15DDD">
      <w:pPr>
        <w:spacing w:after="256"/>
        <w:ind w:left="29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ALUEJOHTOKUNNAN ROOLI JA TOIMENPITEIDEN LAAJUUS </w:t>
      </w:r>
    </w:p>
    <w:p w14:paraId="722C4148" w14:textId="77777777" w:rsidR="0099067E" w:rsidRDefault="00C15DDD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ALUEJOHTOKUNTA ON ALUEEN STRATEGIATOIMIEN OSAAJA, </w:t>
      </w:r>
    </w:p>
    <w:p w14:paraId="26D16603" w14:textId="77777777" w:rsidR="0099067E" w:rsidRDefault="00C15DDD">
      <w:pPr>
        <w:spacing w:after="5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KOKONAISTOIMINTOJEN JOHTAJA JA KOORDINOIJA, </w:t>
      </w:r>
    </w:p>
    <w:p w14:paraId="4A43487F" w14:textId="77777777" w:rsidR="0099067E" w:rsidRDefault="00C15DDD">
      <w:pPr>
        <w:spacing w:after="5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PAIKALLISASIANTUNTIJA, EDUNVALVOJA, PUHEMIES, </w:t>
      </w:r>
    </w:p>
    <w:p w14:paraId="12410DF3" w14:textId="77777777" w:rsidR="0099067E" w:rsidRDefault="00C15DDD">
      <w:pPr>
        <w:spacing w:after="262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TOIMENPITEIDEN GENEROIJA JA AKTIIVINEN ITESENÄINEN TOIMIJA SEKÄ AIKAANSAAJA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C0E6A3" w14:textId="77777777" w:rsidR="0099067E" w:rsidRDefault="00C15DDD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OSOITTAA KESKUSTAAJAMIEN/ALAKESKUSTEN STRATEGISEN MERKITYKSEN JA NIIDEN LINKITTÄMISTARPEEN JA </w:t>
      </w:r>
    </w:p>
    <w:p w14:paraId="575CE05E" w14:textId="77777777" w:rsidR="0099067E" w:rsidRDefault="00C15DDD">
      <w:pPr>
        <w:spacing w:after="5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TOIMENPIDEALUEET KAUPUNKIKOKONAISUUDESSA SEKÄ </w:t>
      </w:r>
    </w:p>
    <w:p w14:paraId="2118583B" w14:textId="77777777" w:rsidR="0099067E" w:rsidRDefault="00C15DDD">
      <w:pPr>
        <w:spacing w:after="5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STRATEGIASUUNNITTELUN OSANA MIKKELIN ELIN- JA </w:t>
      </w:r>
    </w:p>
    <w:p w14:paraId="3DFDA05B" w14:textId="77777777" w:rsidR="0099067E" w:rsidRDefault="00C15DDD">
      <w:pPr>
        <w:spacing w:after="5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VETOVOIMAKEHITYKSESSÄ SEKÄ KAUPUNGIN </w:t>
      </w:r>
    </w:p>
    <w:p w14:paraId="45FDA37E" w14:textId="77777777" w:rsidR="0099067E" w:rsidRDefault="00C15DDD">
      <w:pPr>
        <w:spacing w:after="328" w:line="250" w:lineRule="auto"/>
        <w:ind w:left="1013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KOKONAISMIELIKUVAN MUODOSTUMISESSA.”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5E9D9" w14:textId="44EAC441" w:rsidR="0099067E" w:rsidRDefault="00C15DDD">
      <w:pPr>
        <w:spacing w:after="0"/>
        <w:ind w:left="720"/>
        <w:rPr>
          <w:sz w:val="31"/>
        </w:rPr>
      </w:pPr>
      <w:r>
        <w:rPr>
          <w:sz w:val="31"/>
        </w:rPr>
        <w:t xml:space="preserve"> </w:t>
      </w:r>
    </w:p>
    <w:p w14:paraId="7D77D38B" w14:textId="78FB64D8" w:rsidR="00556CAA" w:rsidRDefault="00556CAA">
      <w:pPr>
        <w:spacing w:after="0"/>
        <w:ind w:left="720"/>
        <w:rPr>
          <w:sz w:val="31"/>
        </w:rPr>
      </w:pPr>
    </w:p>
    <w:p w14:paraId="5F589B4B" w14:textId="654A6A94" w:rsidR="00556CAA" w:rsidRDefault="00556CAA">
      <w:pPr>
        <w:spacing w:after="0"/>
        <w:ind w:left="720"/>
        <w:rPr>
          <w:sz w:val="31"/>
        </w:rPr>
      </w:pPr>
    </w:p>
    <w:p w14:paraId="72E7A3E7" w14:textId="77777777" w:rsidR="00556CAA" w:rsidRDefault="00556CAA">
      <w:pPr>
        <w:spacing w:after="0"/>
        <w:ind w:left="720"/>
      </w:pPr>
    </w:p>
    <w:p w14:paraId="358BF8F2" w14:textId="4ED4ED0D" w:rsidR="0099067E" w:rsidRDefault="00C15DDD" w:rsidP="00556CAA">
      <w:pPr>
        <w:pStyle w:val="Luettelokappale"/>
        <w:numPr>
          <w:ilvl w:val="0"/>
          <w:numId w:val="5"/>
        </w:numPr>
        <w:spacing w:after="0"/>
      </w:pPr>
      <w:r w:rsidRPr="00DE01C3">
        <w:rPr>
          <w:sz w:val="32"/>
        </w:rPr>
        <w:t xml:space="preserve">Aluejohtokunnan hallintomalliin ja aluejohtokunnan jäsenmäärään voidaan aluejohtokunnittain poiketa. Suositus kuitenkin on, että </w:t>
      </w:r>
      <w:r w:rsidR="00824F57">
        <w:t xml:space="preserve">                                                                                                                                          </w:t>
      </w:r>
      <w:r w:rsidR="00556CAA">
        <w:t xml:space="preserve">                    </w:t>
      </w:r>
      <w:r w:rsidRPr="00556CAA">
        <w:rPr>
          <w:sz w:val="32"/>
        </w:rPr>
        <w:t xml:space="preserve">aluejohtokunnan jäsen- ja varajäsenmäärä ei ylitä seitsemää (7) henkilöä. </w:t>
      </w:r>
    </w:p>
    <w:p w14:paraId="55DA1DB3" w14:textId="77777777" w:rsidR="0099067E" w:rsidRDefault="00C15DDD">
      <w:pPr>
        <w:spacing w:after="164"/>
        <w:ind w:left="298"/>
      </w:pPr>
      <w:r>
        <w:rPr>
          <w:sz w:val="32"/>
        </w:rPr>
        <w:t xml:space="preserve"> </w:t>
      </w:r>
    </w:p>
    <w:p w14:paraId="2D25E19B" w14:textId="447C0EFC" w:rsidR="006B6EF4" w:rsidRPr="00824F57" w:rsidRDefault="00C15DDD" w:rsidP="00556CAA">
      <w:pPr>
        <w:spacing w:after="275" w:line="239" w:lineRule="auto"/>
        <w:ind w:left="298" w:right="6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”27. </w:t>
      </w:r>
      <w:r>
        <w:rPr>
          <w:rFonts w:ascii="Times New Roman" w:eastAsia="Times New Roman" w:hAnsi="Times New Roman" w:cs="Times New Roman"/>
          <w:color w:val="993300"/>
          <w:sz w:val="24"/>
        </w:rPr>
        <w:t xml:space="preserve">Tämä strategia on aluejohtokunnan päätoimintalinja ja aikaansaannoslähtökohta. Sen </w:t>
      </w:r>
      <w:r w:rsidR="00824F57">
        <w:rPr>
          <w:rFonts w:ascii="Times New Roman" w:eastAsia="Times New Roman" w:hAnsi="Times New Roman" w:cs="Times New Roman"/>
          <w:color w:val="9933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993300"/>
          <w:sz w:val="24"/>
        </w:rPr>
        <w:t>pohjalta perustetaan projektiryhmiä, johon voidaan ottaa aluejohtokunnan ulkopuolisia henkilöitä ja asiantuntijoita laadukkaan lopputuloksen aikaansaamiseksi. Toimia johtaa ja koordinoi puheenjohtaja sekä valmisteluryhmä.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9D8DDD" w14:textId="77777777" w:rsidR="00894FBC" w:rsidRDefault="00C15DDD" w:rsidP="00894FBC">
      <w:pPr>
        <w:spacing w:after="279" w:line="240" w:lineRule="auto"/>
        <w:ind w:left="298"/>
        <w:rPr>
          <w:rFonts w:ascii="Times New Roman" w:eastAsia="Times New Roman" w:hAnsi="Times New Roman" w:cs="Times New Roman"/>
          <w:color w:val="993300"/>
          <w:sz w:val="24"/>
        </w:rPr>
      </w:pPr>
      <w:r>
        <w:rPr>
          <w:rFonts w:ascii="Times New Roman" w:eastAsia="Times New Roman" w:hAnsi="Times New Roman" w:cs="Times New Roman"/>
          <w:color w:val="993300"/>
          <w:sz w:val="24"/>
        </w:rPr>
        <w:t>Aluejohtokunnan jäsenille nimetään toimintavastuita tämän strategiaosien johtamis-, seuranta- ja koordinointirooleina. Heillä on raportointivelvollisuus ensin puheenjohtajalle ja sen kautta /valmisteluryhmälle ja aluejohtokunnalle projektien etenemistoimi</w:t>
      </w:r>
    </w:p>
    <w:p w14:paraId="34D17F48" w14:textId="7FAB3858" w:rsidR="0099067E" w:rsidRPr="00894FBC" w:rsidRDefault="00C15DDD" w:rsidP="00894FBC">
      <w:pPr>
        <w:spacing w:after="279" w:line="240" w:lineRule="auto"/>
        <w:ind w:left="298"/>
      </w:pPr>
      <w:r>
        <w:rPr>
          <w:rFonts w:ascii="Times New Roman" w:eastAsia="Times New Roman" w:hAnsi="Times New Roman" w:cs="Times New Roman"/>
          <w:sz w:val="24"/>
        </w:rPr>
        <w:t>28.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ALUEJOHTOKUNNAN ORGANISOITUMINEN JA VASTUUT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0CCAE4" w14:textId="77777777" w:rsidR="0099067E" w:rsidRDefault="00C15DDD">
      <w:pPr>
        <w:spacing w:after="261" w:line="249" w:lineRule="auto"/>
        <w:ind w:left="2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-Aluejohtokunta vahvistaa strategian ja vuosibudjetin.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D06F95" w14:textId="77777777" w:rsidR="0099067E" w:rsidRDefault="00C15DDD">
      <w:pPr>
        <w:spacing w:after="261" w:line="249" w:lineRule="auto"/>
        <w:ind w:left="2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-Strategian valmistelusta ja toimeenpanosta vastaa puheenjohtaja valmisteluryhmän tuella tukeutuen rahoitusresursseissa ja muissa toteutumisedellytyksissä Mikkelin kaupunkiin ja mahdollisiin muihin julkisiin sekä hyväksyttyihin yksityisiin kohteisiin.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59A3EB" w14:textId="77777777" w:rsidR="00894FBC" w:rsidRDefault="00C15DDD" w:rsidP="00894FBC">
      <w:pPr>
        <w:spacing w:after="261" w:line="249" w:lineRule="auto"/>
        <w:ind w:left="2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-Strategia yksilöidään vuosittaiseksi omatoimisiksi toimintasuunnitelmiksi ja resursoinnin pohjaksi. Valtaosa kehittämistoimista ja niiden tarpeista hoidetaan suoraan asiaomaisten vastuuviranomais- tai muiden yhteistyökumppaneiden sekä kaupungin toimenpidetahojen kanssa.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6F70F" w14:textId="1753AE7D" w:rsidR="00DE01C3" w:rsidRPr="00894FBC" w:rsidRDefault="00DE01C3" w:rsidP="00894FBC">
      <w:pPr>
        <w:spacing w:after="261" w:line="249" w:lineRule="auto"/>
        <w:ind w:left="293" w:hanging="10"/>
      </w:pPr>
      <w:r w:rsidRPr="00DE01C3">
        <w:rPr>
          <w:sz w:val="32"/>
          <w:szCs w:val="32"/>
        </w:rPr>
        <w:t>LOPUKSI</w:t>
      </w:r>
    </w:p>
    <w:p w14:paraId="22DDFC83" w14:textId="77777777" w:rsidR="00894FBC" w:rsidRDefault="00894FBC" w:rsidP="00DE01C3">
      <w:pPr>
        <w:spacing w:after="0"/>
        <w:rPr>
          <w:sz w:val="32"/>
        </w:rPr>
      </w:pPr>
      <w:r>
        <w:t xml:space="preserve">     </w:t>
      </w:r>
      <w:r w:rsidR="008301D6" w:rsidRPr="00DE01C3">
        <w:rPr>
          <w:sz w:val="32"/>
        </w:rPr>
        <w:t>Aluejohtokunnan</w:t>
      </w:r>
      <w:r w:rsidR="00C15DDD" w:rsidRPr="00DE01C3">
        <w:rPr>
          <w:sz w:val="32"/>
        </w:rPr>
        <w:t xml:space="preserve"> toiminna</w:t>
      </w:r>
      <w:r w:rsidR="008301D6" w:rsidRPr="00DE01C3">
        <w:rPr>
          <w:sz w:val="32"/>
        </w:rPr>
        <w:t xml:space="preserve">n </w:t>
      </w:r>
      <w:r w:rsidR="00DE01C3" w:rsidRPr="00DE01C3">
        <w:rPr>
          <w:sz w:val="32"/>
        </w:rPr>
        <w:t xml:space="preserve">yksinkertaistamiseksi </w:t>
      </w:r>
      <w:r w:rsidR="00C15DDD" w:rsidRPr="00DE01C3">
        <w:rPr>
          <w:sz w:val="32"/>
        </w:rPr>
        <w:t xml:space="preserve">esitämme seuraavien </w:t>
      </w:r>
      <w:r>
        <w:rPr>
          <w:sz w:val="32"/>
        </w:rPr>
        <w:t xml:space="preserve"> </w:t>
      </w:r>
    </w:p>
    <w:p w14:paraId="12DF1D13" w14:textId="5381022F" w:rsidR="0099067E" w:rsidRPr="00DE01C3" w:rsidRDefault="00894FBC" w:rsidP="00DE01C3">
      <w:pPr>
        <w:spacing w:after="0"/>
        <w:rPr>
          <w:sz w:val="32"/>
          <w:szCs w:val="32"/>
        </w:rPr>
      </w:pPr>
      <w:r>
        <w:rPr>
          <w:sz w:val="32"/>
        </w:rPr>
        <w:t xml:space="preserve">   </w:t>
      </w:r>
      <w:r w:rsidR="00C15DDD" w:rsidRPr="00DE01C3">
        <w:rPr>
          <w:sz w:val="32"/>
        </w:rPr>
        <w:t xml:space="preserve">asioiden uudelleen määrittämistä: </w:t>
      </w:r>
    </w:p>
    <w:p w14:paraId="6973AF2D" w14:textId="54FE4A76" w:rsidR="0099067E" w:rsidRDefault="00C15DDD" w:rsidP="00824F57">
      <w:pPr>
        <w:pStyle w:val="Luettelokappale"/>
        <w:numPr>
          <w:ilvl w:val="0"/>
          <w:numId w:val="8"/>
        </w:numPr>
        <w:spacing w:after="2" w:line="226" w:lineRule="auto"/>
      </w:pPr>
      <w:r w:rsidRPr="00824F57">
        <w:rPr>
          <w:sz w:val="32"/>
        </w:rPr>
        <w:t xml:space="preserve">Määritellään aluejohtokuntien itsenäisen toiminnan riittävät rajat hankintapäätöksissä turhan byrokratian välttämiseksi ja </w:t>
      </w:r>
      <w:proofErr w:type="spellStart"/>
      <w:r w:rsidRPr="00824F57">
        <w:rPr>
          <w:sz w:val="32"/>
        </w:rPr>
        <w:t>aluekoor</w:t>
      </w:r>
      <w:r w:rsidR="00824F57">
        <w:rPr>
          <w:sz w:val="32"/>
        </w:rPr>
        <w:t>-</w:t>
      </w:r>
      <w:r w:rsidRPr="00824F57">
        <w:rPr>
          <w:sz w:val="32"/>
        </w:rPr>
        <w:t>dinaattorin</w:t>
      </w:r>
      <w:proofErr w:type="spellEnd"/>
      <w:r w:rsidRPr="00824F57">
        <w:rPr>
          <w:sz w:val="32"/>
        </w:rPr>
        <w:t xml:space="preserve"> toimeen lisätään ko. rajojen </w:t>
      </w:r>
      <w:r w:rsidR="00C62D3A" w:rsidRPr="00824F57">
        <w:rPr>
          <w:sz w:val="32"/>
        </w:rPr>
        <w:t xml:space="preserve">sovellutusohjeistus ja </w:t>
      </w:r>
      <w:r w:rsidR="00894FBC" w:rsidRPr="00824F57">
        <w:rPr>
          <w:sz w:val="32"/>
        </w:rPr>
        <w:t xml:space="preserve">niiden </w:t>
      </w:r>
      <w:r w:rsidR="00C62D3A" w:rsidRPr="00824F57">
        <w:rPr>
          <w:sz w:val="32"/>
        </w:rPr>
        <w:t>valtuutus.</w:t>
      </w:r>
    </w:p>
    <w:p w14:paraId="02F3CF88" w14:textId="10754E82" w:rsidR="00DE01C3" w:rsidRDefault="00C15DDD" w:rsidP="00824F57">
      <w:pPr>
        <w:pStyle w:val="Luettelokappale"/>
        <w:numPr>
          <w:ilvl w:val="0"/>
          <w:numId w:val="8"/>
        </w:numPr>
        <w:spacing w:after="46" w:line="230" w:lineRule="auto"/>
        <w:rPr>
          <w:sz w:val="32"/>
          <w:szCs w:val="32"/>
        </w:rPr>
      </w:pPr>
      <w:r w:rsidRPr="00824F57">
        <w:rPr>
          <w:sz w:val="32"/>
          <w:szCs w:val="32"/>
        </w:rPr>
        <w:t xml:space="preserve">Määritellään </w:t>
      </w:r>
      <w:r w:rsidR="006B6EF4" w:rsidRPr="00824F57">
        <w:rPr>
          <w:sz w:val="32"/>
          <w:szCs w:val="32"/>
        </w:rPr>
        <w:t>järjeste</w:t>
      </w:r>
      <w:r w:rsidR="004121AE" w:rsidRPr="00824F57">
        <w:rPr>
          <w:sz w:val="32"/>
          <w:szCs w:val="32"/>
        </w:rPr>
        <w:t>l</w:t>
      </w:r>
      <w:r w:rsidR="006B6EF4" w:rsidRPr="00824F57">
        <w:rPr>
          <w:sz w:val="32"/>
          <w:szCs w:val="32"/>
        </w:rPr>
        <w:t>mä</w:t>
      </w:r>
      <w:r w:rsidRPr="00824F57">
        <w:rPr>
          <w:sz w:val="32"/>
          <w:szCs w:val="32"/>
        </w:rPr>
        <w:t xml:space="preserve"> aluejohtokunnan hankkimien tulojen liittämiseksi vuosibudjettiin ao. aluejohtokunnan hyväksi</w:t>
      </w:r>
    </w:p>
    <w:p w14:paraId="7F5192B6" w14:textId="77777777" w:rsidR="00556CAA" w:rsidRPr="00824F57" w:rsidRDefault="00556CAA" w:rsidP="00556CAA">
      <w:pPr>
        <w:pStyle w:val="Luettelokappale"/>
        <w:spacing w:after="46" w:line="230" w:lineRule="auto"/>
        <w:ind w:left="570"/>
        <w:rPr>
          <w:sz w:val="32"/>
          <w:szCs w:val="32"/>
        </w:rPr>
      </w:pPr>
    </w:p>
    <w:p w14:paraId="02521A11" w14:textId="1DE3438C" w:rsidR="00894FBC" w:rsidRDefault="00C15DDD" w:rsidP="00727978">
      <w:pPr>
        <w:tabs>
          <w:tab w:val="center" w:pos="298"/>
          <w:tab w:val="center" w:pos="5298"/>
        </w:tabs>
        <w:spacing w:after="184" w:line="230" w:lineRule="auto"/>
        <w:ind w:left="426"/>
        <w:rPr>
          <w:sz w:val="32"/>
        </w:rPr>
      </w:pPr>
      <w:bookmarkStart w:id="0" w:name="_GoBack"/>
      <w:bookmarkEnd w:id="0"/>
      <w:r w:rsidRPr="00C15DDD">
        <w:rPr>
          <w:sz w:val="32"/>
        </w:rPr>
        <w:t>K</w:t>
      </w:r>
      <w:r w:rsidR="006B6EF4" w:rsidRPr="00C15DDD">
        <w:rPr>
          <w:sz w:val="32"/>
        </w:rPr>
        <w:t>aikki edellä olevat</w:t>
      </w:r>
      <w:r w:rsidRPr="00C15DDD">
        <w:rPr>
          <w:sz w:val="32"/>
        </w:rPr>
        <w:t xml:space="preserve"> ja muut aluejohtokuntaprosessin </w:t>
      </w:r>
      <w:r>
        <w:rPr>
          <w:sz w:val="32"/>
        </w:rPr>
        <w:t xml:space="preserve">aikana </w:t>
      </w:r>
      <w:r w:rsidRPr="00C15DDD">
        <w:rPr>
          <w:sz w:val="32"/>
        </w:rPr>
        <w:t xml:space="preserve">täsmennystä ja toiminnan </w:t>
      </w:r>
      <w:r w:rsidR="00400CEE">
        <w:rPr>
          <w:sz w:val="32"/>
        </w:rPr>
        <w:t>uudistamista</w:t>
      </w:r>
      <w:r w:rsidRPr="00C15DDD">
        <w:rPr>
          <w:sz w:val="32"/>
        </w:rPr>
        <w:t xml:space="preserve"> vaatimat asiat</w:t>
      </w:r>
      <w:r w:rsidR="00400CEE">
        <w:rPr>
          <w:sz w:val="32"/>
        </w:rPr>
        <w:t xml:space="preserve"> kirjaan yksinkertaisesti </w:t>
      </w:r>
    </w:p>
    <w:p w14:paraId="7A5D6FE8" w14:textId="0FCD91AB" w:rsidR="0099067E" w:rsidRDefault="00C15DDD" w:rsidP="00894FBC">
      <w:pPr>
        <w:pStyle w:val="Luettelokappale"/>
        <w:numPr>
          <w:ilvl w:val="0"/>
          <w:numId w:val="6"/>
        </w:numPr>
        <w:tabs>
          <w:tab w:val="center" w:pos="298"/>
          <w:tab w:val="center" w:pos="5298"/>
        </w:tabs>
        <w:spacing w:after="184" w:line="230" w:lineRule="auto"/>
      </w:pPr>
      <w:r w:rsidRPr="00894FBC">
        <w:rPr>
          <w:sz w:val="32"/>
        </w:rPr>
        <w:t>hankinta- ja hallintosääntöihin</w:t>
      </w:r>
      <w:r w:rsidR="00400CEE">
        <w:rPr>
          <w:sz w:val="32"/>
        </w:rPr>
        <w:t>.</w:t>
      </w:r>
    </w:p>
    <w:p w14:paraId="1BB517C5" w14:textId="2A34C25B" w:rsidR="0099067E" w:rsidRDefault="00C15DDD" w:rsidP="00556CAA">
      <w:pPr>
        <w:spacing w:after="0"/>
        <w:ind w:left="298"/>
      </w:pPr>
      <w:r>
        <w:rPr>
          <w:sz w:val="32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9067E">
      <w:pgSz w:w="11899" w:h="16838"/>
      <w:pgMar w:top="204" w:right="1166" w:bottom="1769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83C"/>
    <w:multiLevelType w:val="hybridMultilevel"/>
    <w:tmpl w:val="0148A62C"/>
    <w:lvl w:ilvl="0" w:tplc="A008C9FA">
      <w:start w:val="7"/>
      <w:numFmt w:val="decimal"/>
      <w:lvlText w:val="%1."/>
      <w:lvlJc w:val="left"/>
      <w:pPr>
        <w:ind w:left="795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515" w:hanging="360"/>
      </w:pPr>
    </w:lvl>
    <w:lvl w:ilvl="2" w:tplc="040B001B" w:tentative="1">
      <w:start w:val="1"/>
      <w:numFmt w:val="lowerRoman"/>
      <w:lvlText w:val="%3."/>
      <w:lvlJc w:val="right"/>
      <w:pPr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6F065B8"/>
    <w:multiLevelType w:val="hybridMultilevel"/>
    <w:tmpl w:val="41B4FFC4"/>
    <w:lvl w:ilvl="0" w:tplc="C0BC7F56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606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D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488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C3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C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CD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E2C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24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2D3F0A"/>
    <w:multiLevelType w:val="hybridMultilevel"/>
    <w:tmpl w:val="CC3EE232"/>
    <w:lvl w:ilvl="0" w:tplc="8C7AD0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6E6"/>
    <w:multiLevelType w:val="hybridMultilevel"/>
    <w:tmpl w:val="3BA0C91E"/>
    <w:lvl w:ilvl="0" w:tplc="347E42CE">
      <w:start w:val="1"/>
      <w:numFmt w:val="decimal"/>
      <w:lvlText w:val="%1."/>
      <w:lvlJc w:val="left"/>
      <w:pPr>
        <w:ind w:left="57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290" w:hanging="360"/>
      </w:pPr>
    </w:lvl>
    <w:lvl w:ilvl="2" w:tplc="040B001B" w:tentative="1">
      <w:start w:val="1"/>
      <w:numFmt w:val="lowerRoman"/>
      <w:lvlText w:val="%3."/>
      <w:lvlJc w:val="right"/>
      <w:pPr>
        <w:ind w:left="2010" w:hanging="180"/>
      </w:pPr>
    </w:lvl>
    <w:lvl w:ilvl="3" w:tplc="040B000F" w:tentative="1">
      <w:start w:val="1"/>
      <w:numFmt w:val="decimal"/>
      <w:lvlText w:val="%4."/>
      <w:lvlJc w:val="left"/>
      <w:pPr>
        <w:ind w:left="2730" w:hanging="360"/>
      </w:pPr>
    </w:lvl>
    <w:lvl w:ilvl="4" w:tplc="040B0019" w:tentative="1">
      <w:start w:val="1"/>
      <w:numFmt w:val="lowerLetter"/>
      <w:lvlText w:val="%5."/>
      <w:lvlJc w:val="left"/>
      <w:pPr>
        <w:ind w:left="3450" w:hanging="360"/>
      </w:pPr>
    </w:lvl>
    <w:lvl w:ilvl="5" w:tplc="040B001B" w:tentative="1">
      <w:start w:val="1"/>
      <w:numFmt w:val="lowerRoman"/>
      <w:lvlText w:val="%6."/>
      <w:lvlJc w:val="right"/>
      <w:pPr>
        <w:ind w:left="4170" w:hanging="180"/>
      </w:pPr>
    </w:lvl>
    <w:lvl w:ilvl="6" w:tplc="040B000F" w:tentative="1">
      <w:start w:val="1"/>
      <w:numFmt w:val="decimal"/>
      <w:lvlText w:val="%7."/>
      <w:lvlJc w:val="left"/>
      <w:pPr>
        <w:ind w:left="4890" w:hanging="360"/>
      </w:pPr>
    </w:lvl>
    <w:lvl w:ilvl="7" w:tplc="040B0019" w:tentative="1">
      <w:start w:val="1"/>
      <w:numFmt w:val="lowerLetter"/>
      <w:lvlText w:val="%8."/>
      <w:lvlJc w:val="left"/>
      <w:pPr>
        <w:ind w:left="5610" w:hanging="360"/>
      </w:pPr>
    </w:lvl>
    <w:lvl w:ilvl="8" w:tplc="040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5C15506F"/>
    <w:multiLevelType w:val="hybridMultilevel"/>
    <w:tmpl w:val="7D548256"/>
    <w:lvl w:ilvl="0" w:tplc="195655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9629E6"/>
    <w:multiLevelType w:val="hybridMultilevel"/>
    <w:tmpl w:val="4E5ECE68"/>
    <w:lvl w:ilvl="0" w:tplc="4662978C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F1980"/>
    <w:multiLevelType w:val="hybridMultilevel"/>
    <w:tmpl w:val="EAAA2F7C"/>
    <w:lvl w:ilvl="0" w:tplc="36EA3A62">
      <w:start w:val="1"/>
      <w:numFmt w:val="lowerLetter"/>
      <w:lvlText w:val="%1.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7E1856">
      <w:start w:val="1"/>
      <w:numFmt w:val="lowerLetter"/>
      <w:lvlText w:val="%2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EEBCDA">
      <w:start w:val="1"/>
      <w:numFmt w:val="lowerRoman"/>
      <w:lvlText w:val="%3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B21B76">
      <w:start w:val="1"/>
      <w:numFmt w:val="decimal"/>
      <w:lvlText w:val="%4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8E439C">
      <w:start w:val="1"/>
      <w:numFmt w:val="lowerLetter"/>
      <w:lvlText w:val="%5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50E57EA">
      <w:start w:val="1"/>
      <w:numFmt w:val="lowerRoman"/>
      <w:lvlText w:val="%6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46DC8C">
      <w:start w:val="1"/>
      <w:numFmt w:val="decimal"/>
      <w:lvlText w:val="%7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C4EE42">
      <w:start w:val="1"/>
      <w:numFmt w:val="lowerLetter"/>
      <w:lvlText w:val="%8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2248B4">
      <w:start w:val="1"/>
      <w:numFmt w:val="lowerRoman"/>
      <w:lvlText w:val="%9"/>
      <w:lvlJc w:val="left"/>
      <w:pPr>
        <w:ind w:left="7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A64F1F"/>
    <w:multiLevelType w:val="hybridMultilevel"/>
    <w:tmpl w:val="4F2493DC"/>
    <w:lvl w:ilvl="0" w:tplc="EF8A2E18">
      <w:start w:val="2"/>
      <w:numFmt w:val="decimal"/>
      <w:lvlText w:val="%1.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C0B35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43876D6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EE236E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78C99A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CD9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685C3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9E9BB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D5A7B2A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7E"/>
    <w:rsid w:val="00293E40"/>
    <w:rsid w:val="002B5004"/>
    <w:rsid w:val="003C2B9E"/>
    <w:rsid w:val="00400CEE"/>
    <w:rsid w:val="004121AE"/>
    <w:rsid w:val="005177C8"/>
    <w:rsid w:val="00520025"/>
    <w:rsid w:val="00556CAA"/>
    <w:rsid w:val="0059478E"/>
    <w:rsid w:val="006227DF"/>
    <w:rsid w:val="006A29C0"/>
    <w:rsid w:val="006B6EF4"/>
    <w:rsid w:val="00727978"/>
    <w:rsid w:val="00731C78"/>
    <w:rsid w:val="0081540E"/>
    <w:rsid w:val="00824F57"/>
    <w:rsid w:val="008301D6"/>
    <w:rsid w:val="00894FBC"/>
    <w:rsid w:val="008D609B"/>
    <w:rsid w:val="009850F6"/>
    <w:rsid w:val="0099067E"/>
    <w:rsid w:val="00B65D26"/>
    <w:rsid w:val="00C15DDD"/>
    <w:rsid w:val="00C62D3A"/>
    <w:rsid w:val="00C659BD"/>
    <w:rsid w:val="00C77B4E"/>
    <w:rsid w:val="00D84EE2"/>
    <w:rsid w:val="00DE01C3"/>
    <w:rsid w:val="00DF21CC"/>
    <w:rsid w:val="00E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F42A"/>
  <w15:docId w15:val="{B6044492-4091-451A-93D4-901C598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7B4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B6EF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B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ukivuor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 Aino-Maija</dc:creator>
  <cp:lastModifiedBy>Minna Saloviin</cp:lastModifiedBy>
  <cp:revision>3</cp:revision>
  <dcterms:created xsi:type="dcterms:W3CDTF">2020-05-07T13:04:00Z</dcterms:created>
  <dcterms:modified xsi:type="dcterms:W3CDTF">2020-05-07T13:05:00Z</dcterms:modified>
</cp:coreProperties>
</file>